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F6" w:rsidRPr="007649F6" w:rsidRDefault="007649F6" w:rsidP="007649F6">
      <w:pPr>
        <w:pStyle w:val="StandardWeb"/>
        <w:spacing w:before="0" w:beforeAutospacing="0" w:after="0" w:afterAutospacing="0"/>
        <w:jc w:val="center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VODE EUROPE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RIJEČNA MREŽA (mreža tekućica) – sve tekućice u nekom području 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riječna mreža u Europi – gusta, dobro razvijena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najdulje rijeke u središnjoj i istočnoj Europi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vodostaj ovisi o padalinama i o otapanju snijega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najdulje europske rijeke: Volga, Dunav, Ural- vodom najbogatije rijeke u Europi: Volga, Dunav, Pečora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SLIJEV - prostor s kojeg nekom moru i</w:t>
      </w:r>
      <w:r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li jezeru pritječu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vode površinski i podzemno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RAZVODNICA - granica koja odvaja dva porječja ili dva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  <w:t xml:space="preserve">slijeva 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</w:t>
      </w:r>
      <w:r>
        <w:rPr>
          <w:rFonts w:ascii="Calibri" w:eastAsiaTheme="minorEastAsia" w:hAnsi="Calibri" w:cstheme="minorBidi"/>
          <w:b/>
          <w:bCs/>
          <w:color w:val="000000" w:themeColor="text1"/>
          <w:kern w:val="24"/>
          <w:sz w:val="60"/>
          <w:szCs w:val="60"/>
        </w:rPr>
        <w:t xml:space="preserve">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SJEVERNOG LEDENOG MORA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  <w:t xml:space="preserve">- Sjeverna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Dvina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i Pečora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ab/>
        <w:t>-problem zaleđenosti i poplava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ATLANTSKOG OCEANA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– Rajna (najprometnija; Rotterdam na ušću), Elba,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Seine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,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Loire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,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Tejo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,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Thames</w:t>
      </w:r>
      <w:proofErr w:type="spellEnd"/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BALTIČKOG MORA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Odra, Visla, Zapadna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Dvina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, Neva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SREDOZEMNOG MORA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–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Rhone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, Po, </w:t>
      </w:r>
      <w:proofErr w:type="spellStart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Ebro</w:t>
      </w:r>
      <w:proofErr w:type="spellEnd"/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, Vardar, Marica, Neretva, Cetina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</w:t>
      </w:r>
      <w:r>
        <w:rPr>
          <w:rFonts w:ascii="Calibri" w:eastAsiaTheme="minorEastAsia" w:hAnsi="Calibri" w:cstheme="minorBidi"/>
          <w:b/>
          <w:bCs/>
          <w:color w:val="000000" w:themeColor="text1"/>
          <w:kern w:val="24"/>
          <w:sz w:val="60"/>
          <w:szCs w:val="60"/>
        </w:rPr>
        <w:t xml:space="preserve">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CRNOG MORA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– Dunav, Dnjepar, Don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SLIJEV KASPIJSKOG JEZERA</w:t>
      </w: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– Volga (najdulja), Ural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- najveće jezero na Zemlji – Kaspijsko jezero</w:t>
      </w:r>
    </w:p>
    <w:p w:rsidR="007649F6" w:rsidRPr="007649F6" w:rsidRDefault="007649F6" w:rsidP="007649F6">
      <w:pPr>
        <w:pStyle w:val="StandardWeb"/>
        <w:spacing w:before="0" w:beforeAutospacing="0" w:after="0" w:afterAutospacing="0"/>
        <w:ind w:left="720"/>
        <w:textAlignment w:val="baseline"/>
      </w:pPr>
      <w:r w:rsidRPr="007649F6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europska jezera</w:t>
      </w:r>
      <w:r w:rsidRPr="007649F6">
        <w:rPr>
          <w:rFonts w:ascii="Calibri" w:eastAsiaTheme="minorEastAsia" w:hAnsi="Calibri" w:cstheme="minorBidi"/>
          <w:color w:val="000000" w:themeColor="text1"/>
          <w:kern w:val="24"/>
        </w:rPr>
        <w:t xml:space="preserve"> po posta</w:t>
      </w:r>
      <w:bookmarkStart w:id="0" w:name="_GoBack"/>
      <w:bookmarkEnd w:id="0"/>
      <w:r w:rsidRPr="007649F6">
        <w:rPr>
          <w:rFonts w:ascii="Calibri" w:eastAsiaTheme="minorEastAsia" w:hAnsi="Calibri" w:cstheme="minorBidi"/>
          <w:color w:val="000000" w:themeColor="text1"/>
          <w:kern w:val="24"/>
        </w:rPr>
        <w:t>nku su: ledenjačka, riječna, krška, vulkanska, tektonska, reliktna i umjetna</w:t>
      </w:r>
    </w:p>
    <w:p w:rsidR="00D659C2" w:rsidRPr="007649F6" w:rsidRDefault="00D659C2">
      <w:pPr>
        <w:rPr>
          <w:sz w:val="24"/>
          <w:szCs w:val="24"/>
        </w:rPr>
      </w:pPr>
    </w:p>
    <w:sectPr w:rsidR="00D659C2" w:rsidRPr="0076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7649F6"/>
    <w:rsid w:val="00D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36AD-4F5D-4F6D-AD10-9DC785FD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6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2016-10-10T07:38:00Z</dcterms:created>
  <dcterms:modified xsi:type="dcterms:W3CDTF">2016-10-10T07:39:00Z</dcterms:modified>
</cp:coreProperties>
</file>